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4223" w14:textId="77777777" w:rsidR="00233B9B" w:rsidRDefault="00000000">
      <w:pPr>
        <w:pStyle w:val="TitleCustom"/>
        <w:jc w:val="center"/>
      </w:pPr>
      <w:r>
        <w:rPr>
          <w:rFonts w:ascii="Aptos Display" w:hAnsi="Aptos Display"/>
        </w:rPr>
        <w:t>Cas clinique – Suspicion de TSPT après accident de la route</w:t>
      </w:r>
    </w:p>
    <w:p w14:paraId="04F70765" w14:textId="77777777" w:rsidR="00233B9B" w:rsidRDefault="00000000">
      <w:pPr>
        <w:jc w:val="center"/>
      </w:pPr>
      <w:r>
        <w:rPr>
          <w:i/>
          <w:color w:val="5A5A5A"/>
        </w:rPr>
        <w:t>Support pédagogique pour étudiants – psychotraumatologie</w:t>
      </w:r>
    </w:p>
    <w:tbl>
      <w:tblPr>
        <w:tblW w:w="0" w:type="auto"/>
        <w:jc w:val="center"/>
        <w:tblLayout w:type="fixed"/>
        <w:tblLook w:val="04A0" w:firstRow="1" w:lastRow="0" w:firstColumn="1" w:lastColumn="0" w:noHBand="0" w:noVBand="1"/>
      </w:tblPr>
      <w:tblGrid>
        <w:gridCol w:w="9746"/>
      </w:tblGrid>
      <w:tr w:rsidR="00233B9B" w14:paraId="137B52A9" w14:textId="77777777">
        <w:trPr>
          <w:jc w:val="center"/>
        </w:trPr>
        <w:tc>
          <w:tcPr>
            <w:tcW w:w="9746" w:type="dxa"/>
            <w:shd w:val="clear" w:color="auto" w:fill="EEF3F8"/>
            <w:tcMar>
              <w:top w:w="80" w:type="dxa"/>
              <w:left w:w="110" w:type="dxa"/>
              <w:bottom w:w="80" w:type="dxa"/>
              <w:right w:w="110" w:type="dxa"/>
            </w:tcMar>
            <w:vAlign w:val="center"/>
          </w:tcPr>
          <w:p w14:paraId="13E35688" w14:textId="77777777" w:rsidR="00233B9B" w:rsidRDefault="00000000">
            <w:pPr>
              <w:spacing w:after="0"/>
            </w:pPr>
            <w:r>
              <w:t>Objectif pédagogique : repérer, à partir d’une vignette clinique réaliste, les indices en faveur d’un trouble de stress post-traumatique non immédiatement lisible, le rôle de la dissociation péritraumatique, l’apparition différée des symptômes du fait des enjeux somatiques, et la présence de manifestations dissociatives ou atypiques.</w:t>
            </w:r>
          </w:p>
        </w:tc>
      </w:tr>
    </w:tbl>
    <w:p w14:paraId="7D1EDA28" w14:textId="77777777" w:rsidR="00233B9B" w:rsidRDefault="00000000">
      <w:pPr>
        <w:pStyle w:val="Heading1Custom"/>
      </w:pPr>
      <w:r>
        <w:t>Vignette clinique</w:t>
      </w:r>
    </w:p>
    <w:p w14:paraId="23A43CA6" w14:textId="77777777" w:rsidR="00233B9B" w:rsidRDefault="00000000">
      <w:pPr>
        <w:ind w:firstLine="255"/>
      </w:pPr>
      <w:r>
        <w:t>Léa, 19 ans, est adressée à la consultation de psychologie par le service de chirurgie reconstructrice, environ huit mois après un accident de la route survenu au retour d’une soirée. Elle était passagère avant dans un véhicule conduit par une amie. La voiture a percuté une glissière puis a pris feu partiellement après le choc. Léa a présenté plusieurs brûlures du bras droit, du cou et de la partie haute du thorax, ainsi qu’une fracture non déplacée de la clavicule. Elle a été hospitalisée plusieurs semaines, a bénéficié de soins douloureux répétés, de pansements, puis d’une prise en charge rééducative et esthétique progressive.</w:t>
      </w:r>
    </w:p>
    <w:p w14:paraId="6EB77967" w14:textId="77777777" w:rsidR="00233B9B" w:rsidRDefault="00000000">
      <w:pPr>
        <w:ind w:firstLine="255"/>
      </w:pPr>
      <w:r>
        <w:t>Pendant les premiers mois, l’attention clinique a été presque exclusivement centrée sur l’état somatique. Léa se montre alors “courageuse”, très tournée vers la récupération fonctionnelle, peu demandeuse sur le plan émotionnel. Elle explique qu’elle n’a pas vraiment eu le temps de penser à l’accident, qu’il fallait d’abord “tenir”, supporter les douleurs, les soins et les interventions. Sa mère dira rétrospectivement que sa fille paraissait étrangement calme au début, “comme anesthésiée”.</w:t>
      </w:r>
    </w:p>
    <w:p w14:paraId="0FB9611A" w14:textId="77777777" w:rsidR="00233B9B" w:rsidRDefault="00000000">
      <w:pPr>
        <w:ind w:firstLine="255"/>
      </w:pPr>
      <w:r>
        <w:t>À l’entretien, Léa peine à raconter précisément la scène. Certains moments lui reviennent avec une grande netteté sensorielle – une odeur de plastique brûlé, un bruit métallique, la lumière orange dans l’habitacle – alors que d’autres segments lui semblent flous ou comme effacés. Elle dit s’être vue “de l’extérieur” juste après le choc, avec l’impression que tout se passait au ralenti, dans un silence inhabituel. Elle rapporte ne pas avoir senti immédiatement la douleur et se souvient surtout d’avoir regardé son bras “comme si ce n’était pas vraiment le sien”.</w:t>
      </w:r>
    </w:p>
    <w:p w14:paraId="55CEDF83" w14:textId="77777777" w:rsidR="00233B9B" w:rsidRDefault="00000000">
      <w:pPr>
        <w:ind w:firstLine="255"/>
      </w:pPr>
      <w:r>
        <w:t>Depuis environ trois mois, alors même que les brûlures cicatrisent et que les soins deviennent moins invasifs, Léa va moins bien. Elle dort mal, met longtemps à s’endormir et se réveille en sursaut. Elle ne fait pas spontanément état de cauchemars typiques, mais dit se réveiller avec l’impression d’étouffer et avec l’odeur de brûlé “dans le nez”. Elle évite de remonter en voiture quand elle le peut, supporte mal les feux arrière la nuit et demande souvent qu’on baisse le chauffage dans l’habitacle. À deux reprises, elle a fait demi-tour devant un parking souterrain sans pouvoir expliquer clairement pourquoi.</w:t>
      </w:r>
    </w:p>
    <w:p w14:paraId="7C617FD9" w14:textId="77777777" w:rsidR="00233B9B" w:rsidRDefault="00000000">
      <w:pPr>
        <w:ind w:firstLine="255"/>
      </w:pPr>
      <w:r>
        <w:t>À l’université, ses proches la trouvent plus irritable et plus distante. Elle a du mal à se concentrer en cours. Lors de certains TP, elle se “déconnecte” quelques minutes : elle entend encore ce qu’on lui dit, mais a l’impression d’être loin, derrière une vitre. Une amie décrit un regard fixe et l’impression que Léa n’est plus tout à fait présente. Léa mentionne aussi plusieurs épisodes brefs où elle ne reconnaît pas immédiatement son reflet, en particulier quand elle aperçoit ses cicatrices après la douche. Elle évite désormais les miroirs dans certaines cabines d’essayage.</w:t>
      </w:r>
    </w:p>
    <w:p w14:paraId="4372B12D" w14:textId="77777777" w:rsidR="00233B9B" w:rsidRDefault="00000000">
      <w:pPr>
        <w:ind w:firstLine="255"/>
      </w:pPr>
      <w:r>
        <w:t>Sur le plan somatique, elle consulte à répétition pour une sensation intermittente d’engourdissement de la main droite, alors que les examens neurologiques sont rassurants. Elle dit parfois qu’elle “ne sent plus bien son bras”, surtout après une odeur de fumée, un bruit de freinage ou lorsqu’un soignant approche trop vite d’elle. Son entourage s’interroge aussi sur un changement de personnalité : Léa, auparavant très sociable, refuse les soirées, ne tolère plus l’imprévu et devient très tendue si quelqu’un la touche par surprise. Elle ne formule pas clairement de peur de mourir, mais affirme depuis l’accident qu’“une vie normale peut basculer sans prévenir”.</w:t>
      </w:r>
    </w:p>
    <w:p w14:paraId="2203E33E" w14:textId="77777777" w:rsidR="00233B9B" w:rsidRDefault="00000000">
      <w:pPr>
        <w:ind w:firstLine="255"/>
      </w:pPr>
      <w:r>
        <w:t xml:space="preserve">Interrogée sur ce qu’elle a ressenti au moment de l’accident, elle répond d’abord qu’elle ne sait pas, puis évoque une impression d’irréalité, comme si la scène ne pouvait pas lui arriver à elle. Elle dit aussi avoir </w:t>
      </w:r>
      <w:r>
        <w:lastRenderedPageBreak/>
        <w:t>pensé, pendant quelques secondes, qu’il fallait rester parfaitement immobile et ne rien ressentir pour “ne pas exploser”. Depuis, elle se surprend parfois à décrocher émotionnellement dans des situations de tension, y compris sans lien évident avec la route.</w:t>
      </w:r>
    </w:p>
    <w:p w14:paraId="0A31777A" w14:textId="77777777" w:rsidR="00233B9B" w:rsidRDefault="00000000">
      <w:pPr>
        <w:pStyle w:val="Heading1Custom"/>
      </w:pPr>
      <w:r>
        <w:t>Questions proposées aux étudiants</w:t>
      </w:r>
    </w:p>
    <w:p w14:paraId="26C12E68" w14:textId="77777777" w:rsidR="00233B9B" w:rsidRDefault="00000000">
      <w:pPr>
        <w:pStyle w:val="QuestionStyle"/>
        <w:ind w:left="113"/>
      </w:pPr>
      <w:r>
        <w:t>1. Quels éléments de cette vignette permettent de considérer que l’accident a constitué un événement potentiellement traumatique au sens psychopathologique du terme ?</w:t>
      </w:r>
    </w:p>
    <w:p w14:paraId="5C1E1044" w14:textId="77777777" w:rsidR="00233B9B" w:rsidRDefault="00000000">
      <w:pPr>
        <w:pStyle w:val="QuestionStyle"/>
        <w:ind w:left="113"/>
      </w:pPr>
      <w:r>
        <w:t>2. Quels indices laissent penser que les symptômes psychotraumatiques n’ont pas émergé immédiatement, et comment comprendre ce décalage temporel ?</w:t>
      </w:r>
    </w:p>
    <w:p w14:paraId="0862DB4C" w14:textId="77777777" w:rsidR="00233B9B" w:rsidRDefault="00000000">
      <w:pPr>
        <w:pStyle w:val="QuestionStyle"/>
        <w:ind w:left="113"/>
      </w:pPr>
      <w:r>
        <w:t>3. Quels éléments cliniques évoquent ici un syndrome de répétition ou de reviviscence, même s’il n’est pas présenté de manière caricaturale ?</w:t>
      </w:r>
    </w:p>
    <w:p w14:paraId="538396E0" w14:textId="77777777" w:rsidR="00233B9B" w:rsidRDefault="00000000">
      <w:pPr>
        <w:pStyle w:val="QuestionStyle"/>
        <w:ind w:left="113"/>
      </w:pPr>
      <w:r>
        <w:t>4. Quels comportements d’évitement ou stratégies de contrôle repérez-vous dans ce cas ?</w:t>
      </w:r>
    </w:p>
    <w:p w14:paraId="7A3FE5EA" w14:textId="77777777" w:rsidR="00233B9B" w:rsidRDefault="00000000">
      <w:pPr>
        <w:pStyle w:val="QuestionStyle"/>
        <w:ind w:left="113"/>
      </w:pPr>
      <w:r>
        <w:t>5. Quels signes d’hyperactivation neurovégétative ou d’hypervigilance apparaissent dans la vignette ?</w:t>
      </w:r>
    </w:p>
    <w:p w14:paraId="00643A59" w14:textId="77777777" w:rsidR="00233B9B" w:rsidRDefault="00000000">
      <w:pPr>
        <w:pStyle w:val="QuestionStyle"/>
        <w:ind w:left="113"/>
      </w:pPr>
      <w:r>
        <w:t>6. Quels indices plaident en faveur d’une dissociation péritraumatique au moment de l’accident ?</w:t>
      </w:r>
    </w:p>
    <w:p w14:paraId="201F10DF" w14:textId="77777777" w:rsidR="00233B9B" w:rsidRDefault="00000000">
      <w:pPr>
        <w:pStyle w:val="QuestionStyle"/>
        <w:ind w:left="113"/>
      </w:pPr>
      <w:r>
        <w:t>7. Quels symptômes dissociatifs secondaires ou persistants observez-vous ensuite, et en quoi débordent-ils le tableau classique du TSPT ?</w:t>
      </w:r>
    </w:p>
    <w:p w14:paraId="62D6F8C1" w14:textId="77777777" w:rsidR="00233B9B" w:rsidRDefault="00000000">
      <w:pPr>
        <w:pStyle w:val="QuestionStyle"/>
        <w:ind w:left="113"/>
      </w:pPr>
      <w:r>
        <w:t>8. Quelle hypothèse diagnostique principale proposeriez-vous, et quels diagnostics différentiels ou comorbidités faudrait-il discuter de manière argumentée ?</w:t>
      </w:r>
    </w:p>
    <w:p w14:paraId="07564811" w14:textId="05032DA6" w:rsidR="00233B9B" w:rsidRDefault="00233B9B">
      <w:pPr>
        <w:ind w:firstLine="255"/>
      </w:pPr>
    </w:p>
    <w:sectPr w:rsidR="00233B9B" w:rsidSect="00034616">
      <w:footerReference w:type="default" r:id="rId8"/>
      <w:pgSz w:w="12240" w:h="15840"/>
      <w:pgMar w:top="1134" w:right="1247"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FFA5" w14:textId="77777777" w:rsidR="00E97465" w:rsidRDefault="00E97465">
      <w:pPr>
        <w:spacing w:after="0" w:line="240" w:lineRule="auto"/>
      </w:pPr>
      <w:r>
        <w:separator/>
      </w:r>
    </w:p>
  </w:endnote>
  <w:endnote w:type="continuationSeparator" w:id="0">
    <w:p w14:paraId="379D3FDE" w14:textId="77777777" w:rsidR="00E97465" w:rsidRDefault="00E9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92A" w14:textId="77777777" w:rsidR="00233B9B" w:rsidRDefault="00000000">
    <w:pPr>
      <w:pStyle w:val="Pieddepage"/>
      <w:jc w:val="right"/>
    </w:pPr>
    <w:r>
      <w:t xml:space="preserve">Page </w:t>
    </w:r>
    <w:r>
      <w:fldChar w:fldCharType="begin"/>
    </w:r>
    <w:r>
      <w:instrText>PAGE</w:instrText>
    </w:r>
    <w:r>
      <w:fldChar w:fldCharType="separate"/>
    </w:r>
    <w:r w:rsidR="00BC4D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F54C" w14:textId="77777777" w:rsidR="00E97465" w:rsidRDefault="00E97465">
      <w:pPr>
        <w:spacing w:after="0" w:line="240" w:lineRule="auto"/>
      </w:pPr>
      <w:r>
        <w:separator/>
      </w:r>
    </w:p>
  </w:footnote>
  <w:footnote w:type="continuationSeparator" w:id="0">
    <w:p w14:paraId="6A2BEFA4" w14:textId="77777777" w:rsidR="00E97465" w:rsidRDefault="00E97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605619483">
    <w:abstractNumId w:val="8"/>
  </w:num>
  <w:num w:numId="2" w16cid:durableId="147211902">
    <w:abstractNumId w:val="6"/>
  </w:num>
  <w:num w:numId="3" w16cid:durableId="1909605797">
    <w:abstractNumId w:val="5"/>
  </w:num>
  <w:num w:numId="4" w16cid:durableId="154346597">
    <w:abstractNumId w:val="4"/>
  </w:num>
  <w:num w:numId="5" w16cid:durableId="1478373589">
    <w:abstractNumId w:val="7"/>
  </w:num>
  <w:num w:numId="6" w16cid:durableId="1320693325">
    <w:abstractNumId w:val="3"/>
  </w:num>
  <w:num w:numId="7" w16cid:durableId="1614701798">
    <w:abstractNumId w:val="2"/>
  </w:num>
  <w:num w:numId="8" w16cid:durableId="1851800398">
    <w:abstractNumId w:val="1"/>
  </w:num>
  <w:num w:numId="9" w16cid:durableId="210101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FA2"/>
    <w:rsid w:val="00233B9B"/>
    <w:rsid w:val="0029639D"/>
    <w:rsid w:val="00326F90"/>
    <w:rsid w:val="00677679"/>
    <w:rsid w:val="00AA1D8D"/>
    <w:rsid w:val="00B47730"/>
    <w:rsid w:val="00BC4DB0"/>
    <w:rsid w:val="00CB0664"/>
    <w:rsid w:val="00E974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0C1F8"/>
  <w14:defaultImageDpi w14:val="300"/>
  <w15:docId w15:val="{F26E1400-94B3-0841-8647-7A5D2DE0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4" w:lineRule="auto"/>
    </w:pPr>
    <w:rPr>
      <w:rFonts w:ascii="Aptos" w:hAnsi="Aptos"/>
      <w:color w:val="232323"/>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pPr>
      <w:spacing w:before="80" w:after="40"/>
    </w:pPr>
    <w:rPr>
      <w:rFonts w:ascii="Aptos" w:hAnsi="Aptos"/>
      <w:b/>
      <w:color w:val="244A76"/>
      <w:sz w:val="34"/>
    </w:rPr>
  </w:style>
  <w:style w:type="paragraph" w:customStyle="1" w:styleId="Heading1Custom">
    <w:name w:val="Heading1Custom"/>
    <w:pPr>
      <w:spacing w:before="80" w:after="80"/>
    </w:pPr>
    <w:rPr>
      <w:rFonts w:ascii="Aptos" w:hAnsi="Aptos"/>
      <w:b/>
      <w:color w:val="244A76"/>
      <w:sz w:val="27"/>
    </w:rPr>
  </w:style>
  <w:style w:type="paragraph" w:customStyle="1" w:styleId="Heading2Custom">
    <w:name w:val="Heading2Custom"/>
    <w:pPr>
      <w:spacing w:before="80" w:after="80"/>
    </w:pPr>
    <w:rPr>
      <w:rFonts w:ascii="Aptos" w:hAnsi="Aptos"/>
      <w:b/>
      <w:color w:val="244A76"/>
      <w:sz w:val="23"/>
    </w:rPr>
  </w:style>
  <w:style w:type="paragraph" w:customStyle="1" w:styleId="QuestionStyle">
    <w:name w:val="QuestionStyle"/>
    <w:pPr>
      <w:spacing w:before="80" w:after="80"/>
    </w:pPr>
    <w:rPr>
      <w:rFonts w:ascii="Aptos" w:hAnsi="Aptos"/>
      <w:b/>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4792</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clinique TSPT après accident de la route</dc:title>
  <dc:subject>Psychotraumatologie</dc:subject>
  <dc:creator>OpenAI</dc:creator>
  <cp:keywords/>
  <dc:description>Document pédagogique</dc:description>
  <cp:lastModifiedBy>Cyril Tarquinio</cp:lastModifiedBy>
  <cp:revision>2</cp:revision>
  <dcterms:created xsi:type="dcterms:W3CDTF">2026-03-09T09:36:00Z</dcterms:created>
  <dcterms:modified xsi:type="dcterms:W3CDTF">2026-03-09T09:36:00Z</dcterms:modified>
  <cp:category>Enseignement</cp:category>
</cp:coreProperties>
</file>