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961D" w14:textId="77777777" w:rsidR="00690EC1" w:rsidRPr="00690EC1" w:rsidRDefault="00690EC1" w:rsidP="00690EC1">
      <w:pPr>
        <w:jc w:val="center"/>
        <w:rPr>
          <w:b/>
          <w:bCs/>
        </w:rPr>
      </w:pPr>
      <w:r w:rsidRPr="00690EC1">
        <w:rPr>
          <w:b/>
          <w:bCs/>
        </w:rPr>
        <w:t>Cas clinique n°2 – Mademoiselle L.</w:t>
      </w:r>
    </w:p>
    <w:p w14:paraId="36809A45" w14:textId="77777777" w:rsidR="00690EC1" w:rsidRPr="00690EC1" w:rsidRDefault="00690EC1" w:rsidP="00690EC1">
      <w:pPr>
        <w:jc w:val="center"/>
      </w:pPr>
      <w:r w:rsidRPr="00690EC1">
        <w:rPr>
          <w:b/>
          <w:bCs/>
        </w:rPr>
        <w:t>Licence 2</w:t>
      </w:r>
    </w:p>
    <w:p w14:paraId="7EAB2AB2" w14:textId="77777777" w:rsidR="00690EC1" w:rsidRPr="00690EC1" w:rsidRDefault="00690EC1" w:rsidP="00690EC1">
      <w:pPr>
        <w:jc w:val="both"/>
        <w:rPr>
          <w:b/>
          <w:bCs/>
        </w:rPr>
      </w:pPr>
      <w:r w:rsidRPr="00690EC1">
        <w:rPr>
          <w:b/>
          <w:bCs/>
        </w:rPr>
        <w:t>Présentation du cas</w:t>
      </w:r>
    </w:p>
    <w:p w14:paraId="0791E282" w14:textId="77777777" w:rsidR="00690EC1" w:rsidRPr="00690EC1" w:rsidRDefault="00690EC1" w:rsidP="00690EC1">
      <w:pPr>
        <w:jc w:val="both"/>
      </w:pPr>
      <w:r w:rsidRPr="00690EC1">
        <w:t xml:space="preserve">Mademoiselle L., 21 ans, étudiante en troisième année de droit, est adressée en consultation psychiatrique par son médecin généraliste </w:t>
      </w:r>
      <w:proofErr w:type="gramStart"/>
      <w:r w:rsidRPr="00690EC1">
        <w:t>suite à une</w:t>
      </w:r>
      <w:proofErr w:type="gramEnd"/>
      <w:r w:rsidRPr="00690EC1">
        <w:t xml:space="preserve"> crise de panique majeure survenue lors d'un massage relaxant pendant ses vacances d'été. Elle présente depuis cet épisode une recrudescence de symptômes anxieux invalidants qui perturbent gravement son fonctionnement quotidien et universitaire.</w:t>
      </w:r>
    </w:p>
    <w:p w14:paraId="02AB41D0" w14:textId="77777777" w:rsidR="00690EC1" w:rsidRPr="00690EC1" w:rsidRDefault="00690EC1" w:rsidP="00690EC1">
      <w:pPr>
        <w:jc w:val="both"/>
      </w:pPr>
      <w:r w:rsidRPr="00690EC1">
        <w:t>L'anamnèse révèle un événement traumatique survenu à l'âge de 17 ans : lors d'une soirée en boîte de nuit avec des amis pour fêter le baccalauréat, elle a été victime d'un viol après soumission chimique. Elle se souvient avoir accepté un verre offert par un homme plus âgé, puis d'avoir ressenti des vertiges importants et une perte progressive de contrôle. Ses souvenirs de l'agression sont fragmentaires : images floues d'une chambre d'hôtel, sensations corporelles douloureuses, incapacité de bouger ou de parler. Elle s'est réveillée le lendemain matin, seule, avec des douleurs physiques et des marques sur le corps. Elle n'a porté plainte que trois jours plus tard, sous la pression de sa meilleure amie, mais l'enquête n'a pas abouti faute de preuves suffisantes.</w:t>
      </w:r>
    </w:p>
    <w:p w14:paraId="7F087EF5" w14:textId="77777777" w:rsidR="00690EC1" w:rsidRPr="00690EC1" w:rsidRDefault="00690EC1" w:rsidP="00690EC1">
      <w:pPr>
        <w:jc w:val="both"/>
      </w:pPr>
      <w:r w:rsidRPr="00690EC1">
        <w:t>Depuis cet événement, Mademoiselle L. présente un tableau clinique complexe :</w:t>
      </w:r>
    </w:p>
    <w:p w14:paraId="03FB7844" w14:textId="77777777" w:rsidR="00690EC1" w:rsidRPr="00690EC1" w:rsidRDefault="00690EC1" w:rsidP="00690EC1">
      <w:pPr>
        <w:jc w:val="both"/>
      </w:pPr>
      <w:r w:rsidRPr="00690EC1">
        <w:rPr>
          <w:b/>
          <w:bCs/>
        </w:rPr>
        <w:t>Sur le plan dissociatif</w:t>
      </w:r>
      <w:r w:rsidRPr="00690EC1">
        <w:t>, elle décrit des épisodes de déréalisation fréquents (sensation que le monde est "comme dans un film", "derrière une vitre"), des moments d'absence où elle "se déconnecte" en cours ou lors de conversations, une amnésie partielle concernant certaines périodes de sa vie post-traumatique, et des flashbacks sensoriels intrusifs (odeur d'alcool fort, sensation de paralysie, goût métallique). Elle rapporte également des épisodes où elle se retrouve dans des endroits sans savoir comment elle y est arrivée, particulièrement après des situations stressantes.</w:t>
      </w:r>
    </w:p>
    <w:p w14:paraId="61418B76" w14:textId="77777777" w:rsidR="00690EC1" w:rsidRPr="00690EC1" w:rsidRDefault="00690EC1" w:rsidP="00690EC1">
      <w:pPr>
        <w:jc w:val="both"/>
      </w:pPr>
      <w:r w:rsidRPr="00690EC1">
        <w:rPr>
          <w:b/>
          <w:bCs/>
        </w:rPr>
        <w:t>Concernant les troubles du comportement alimentaire</w:t>
      </w:r>
      <w:r w:rsidRPr="00690EC1">
        <w:t>, elle a développé dans les mois suivant l'agression une anorexie restrictive sévère, perdant 15 kg en 6 mois. Elle explique avoir voulu "disparaître", "devenir invisible", avec un contrôle obsessionnel de son alimentation. Actuellement, elle alterne des phases de restriction alimentaire stricte et des crises de boulimie suivies de vomissements provoqués. Son IMC actuel est de 17,5. Elle exprime un dégoût profond pour son corps qu'elle perçoit comme "souillé" et "étranger".</w:t>
      </w:r>
    </w:p>
    <w:p w14:paraId="2A902800" w14:textId="77777777" w:rsidR="00690EC1" w:rsidRPr="00690EC1" w:rsidRDefault="00690EC1" w:rsidP="00690EC1">
      <w:pPr>
        <w:jc w:val="both"/>
      </w:pPr>
      <w:r w:rsidRPr="00690EC1">
        <w:rPr>
          <w:b/>
          <w:bCs/>
        </w:rPr>
        <w:t>Les troubles de la sexualité</w:t>
      </w:r>
      <w:r w:rsidRPr="00690EC1">
        <w:t xml:space="preserve"> sont marqués par une aversion sexuelle complète, des crises de panique lors de tout contact physique intime, même avec son petit ami actuel qu'elle fréquente depuis un an. Elle évite systématiquement les situations pouvant mener à une intimité physique, développe des stratégies d'évitement élaborées, et ressent une culpabilité intense liée à son incapacité à avoir une vie sexuelle "normale". Elle rapporte </w:t>
      </w:r>
      <w:proofErr w:type="gramStart"/>
      <w:r w:rsidRPr="00690EC1">
        <w:lastRenderedPageBreak/>
        <w:t>des</w:t>
      </w:r>
      <w:proofErr w:type="gramEnd"/>
      <w:r w:rsidRPr="00690EC1">
        <w:t xml:space="preserve"> cauchemars récurrents à contenu sexuel traumatique et des sensations corporelles intrusives (douleurs pelviennes, sensation d'étouffement) lors de moments d'intimité.</w:t>
      </w:r>
    </w:p>
    <w:p w14:paraId="775B64AF" w14:textId="77777777" w:rsidR="00690EC1" w:rsidRPr="00690EC1" w:rsidRDefault="00690EC1" w:rsidP="00690EC1">
      <w:pPr>
        <w:jc w:val="both"/>
      </w:pPr>
      <w:r w:rsidRPr="00690EC1">
        <w:t>Le déclencheur de la consultation actuelle a été un massage relaxant offert par sa mère lors de vacances familiales. Au moment où la masseuse a posé ses mains sur elle, elle a ressenti une terreur intense, une paralysie complète, suivie d'une crise de panique avec hyperventilation, tremblements incontrôlables et sentiment de mort imminente. Depuis, les symptômes se sont intensifiés avec une hypervigilance constante, des troubles du sommeil majeurs (endormissement tardif, réveils multiples, cauchemars), et un évitement croissant de toute situation sociale.</w:t>
      </w:r>
    </w:p>
    <w:p w14:paraId="083281DE" w14:textId="77777777" w:rsidR="00690EC1" w:rsidRPr="00690EC1" w:rsidRDefault="00690EC1" w:rsidP="00690EC1">
      <w:pPr>
        <w:jc w:val="both"/>
      </w:pPr>
      <w:r w:rsidRPr="00690EC1">
        <w:t>Sur le plan social et académique, elle maintient une façade de fonctionnement apparent, avec d'excellents résultats universitaires, mais au prix d'un épuisement majeur. Elle s'isole progressivement, évite les soirées étudiantes, refuse systématiquement l'alcool, et développe des rituels de sécurité (vérification des issues, ne jamais tourner le dos à la porte, éviter les espaces confinés).</w:t>
      </w:r>
    </w:p>
    <w:p w14:paraId="14ACD188" w14:textId="77777777" w:rsidR="00690EC1" w:rsidRPr="00690EC1" w:rsidRDefault="00690EC1" w:rsidP="00690EC1">
      <w:pPr>
        <w:jc w:val="both"/>
      </w:pPr>
      <w:r w:rsidRPr="00690EC1">
        <w:t>Elle n'a jamais bénéficié de suivi psychologique spécifique pour le traumatisme, minimisant longtemps l'impact de l'événement ("j'ai eu de la chance, ça aurait pu être pire", "d'autres vivent des choses bien plus graves"). Sa famille, bien que soutenante, reste dans l'évitement du sujet, et elle n'a parlé de l'agression qu'à trois personnes depuis quatre ans.</w:t>
      </w:r>
    </w:p>
    <w:p w14:paraId="44EF0481" w14:textId="77777777" w:rsidR="00690EC1" w:rsidRPr="00690EC1" w:rsidRDefault="00690EC1" w:rsidP="00690EC1">
      <w:pPr>
        <w:jc w:val="both"/>
        <w:rPr>
          <w:b/>
          <w:bCs/>
        </w:rPr>
      </w:pPr>
      <w:r w:rsidRPr="00690EC1">
        <w:rPr>
          <w:b/>
          <w:bCs/>
        </w:rPr>
        <w:t>Questions d'analyse clinique (15)</w:t>
      </w:r>
    </w:p>
    <w:p w14:paraId="208CA840" w14:textId="77777777" w:rsidR="00690EC1" w:rsidRPr="00690EC1" w:rsidRDefault="00690EC1" w:rsidP="00690EC1">
      <w:pPr>
        <w:numPr>
          <w:ilvl w:val="0"/>
          <w:numId w:val="1"/>
        </w:numPr>
        <w:jc w:val="both"/>
      </w:pPr>
      <w:r w:rsidRPr="00690EC1">
        <w:t>Quels critères du TSPT selon le DSM-5 sont présents dans ce tableau clinique ?</w:t>
      </w:r>
    </w:p>
    <w:p w14:paraId="4F1F5B7E" w14:textId="77777777" w:rsidR="00690EC1" w:rsidRPr="00690EC1" w:rsidRDefault="00690EC1" w:rsidP="00690EC1">
      <w:pPr>
        <w:numPr>
          <w:ilvl w:val="0"/>
          <w:numId w:val="1"/>
        </w:numPr>
        <w:jc w:val="both"/>
      </w:pPr>
      <w:r w:rsidRPr="00690EC1">
        <w:t>Comment expliquer le délai de 4 ans entre le traumatisme et la consultation ?</w:t>
      </w:r>
    </w:p>
    <w:p w14:paraId="0105CC1D" w14:textId="77777777" w:rsidR="00690EC1" w:rsidRPr="00690EC1" w:rsidRDefault="00690EC1" w:rsidP="00690EC1">
      <w:pPr>
        <w:numPr>
          <w:ilvl w:val="0"/>
          <w:numId w:val="1"/>
        </w:numPr>
        <w:jc w:val="both"/>
      </w:pPr>
      <w:r w:rsidRPr="00690EC1">
        <w:t>Quelles sont les manifestations dissociatives spécifiques et leur fonction adaptative ?</w:t>
      </w:r>
    </w:p>
    <w:p w14:paraId="5674381F" w14:textId="77777777" w:rsidR="00690EC1" w:rsidRPr="00690EC1" w:rsidRDefault="00690EC1" w:rsidP="00690EC1">
      <w:pPr>
        <w:numPr>
          <w:ilvl w:val="0"/>
          <w:numId w:val="1"/>
        </w:numPr>
        <w:jc w:val="both"/>
      </w:pPr>
      <w:r w:rsidRPr="00690EC1">
        <w:t>Quel est le lien entre le trouble alimentaire et le traumatisme sexuel ?</w:t>
      </w:r>
    </w:p>
    <w:p w14:paraId="4399D0F5" w14:textId="77777777" w:rsidR="00690EC1" w:rsidRPr="00690EC1" w:rsidRDefault="00690EC1" w:rsidP="00690EC1">
      <w:pPr>
        <w:numPr>
          <w:ilvl w:val="0"/>
          <w:numId w:val="1"/>
        </w:numPr>
        <w:jc w:val="both"/>
      </w:pPr>
      <w:r w:rsidRPr="00690EC1">
        <w:t>Comment comprendre la fonction du contrôle alimentaire dans ce contexte ?</w:t>
      </w:r>
    </w:p>
    <w:p w14:paraId="7EF2282F" w14:textId="77777777" w:rsidR="00690EC1" w:rsidRPr="00690EC1" w:rsidRDefault="00690EC1" w:rsidP="00690EC1">
      <w:pPr>
        <w:numPr>
          <w:ilvl w:val="0"/>
          <w:numId w:val="1"/>
        </w:numPr>
        <w:jc w:val="both"/>
      </w:pPr>
      <w:r w:rsidRPr="00690EC1">
        <w:t>Quels mécanismes neurobiologiques peuvent expliquer la réaction au massage ?</w:t>
      </w:r>
    </w:p>
    <w:p w14:paraId="2AFC8378" w14:textId="77777777" w:rsidR="00690EC1" w:rsidRPr="00690EC1" w:rsidRDefault="00690EC1" w:rsidP="00690EC1">
      <w:pPr>
        <w:numPr>
          <w:ilvl w:val="0"/>
          <w:numId w:val="1"/>
        </w:numPr>
        <w:jc w:val="both"/>
      </w:pPr>
      <w:r w:rsidRPr="00690EC1">
        <w:t>Comment analyser les troubles de la sexualité dans une perspective post-traumatique ?</w:t>
      </w:r>
    </w:p>
    <w:p w14:paraId="344C57C1" w14:textId="77777777" w:rsidR="00690EC1" w:rsidRPr="00690EC1" w:rsidRDefault="00690EC1" w:rsidP="00690EC1">
      <w:pPr>
        <w:numPr>
          <w:ilvl w:val="0"/>
          <w:numId w:val="1"/>
        </w:numPr>
        <w:jc w:val="both"/>
      </w:pPr>
      <w:r w:rsidRPr="00690EC1">
        <w:t>Quel est le rôle de la soumission chimique dans la complexité du tableau ?</w:t>
      </w:r>
    </w:p>
    <w:p w14:paraId="6FCF53B0" w14:textId="77777777" w:rsidR="00690EC1" w:rsidRPr="00690EC1" w:rsidRDefault="00690EC1" w:rsidP="00690EC1">
      <w:pPr>
        <w:numPr>
          <w:ilvl w:val="0"/>
          <w:numId w:val="1"/>
        </w:numPr>
        <w:jc w:val="both"/>
      </w:pPr>
      <w:r w:rsidRPr="00690EC1">
        <w:t>Quelles stratégies d'évitement sont mises en place et quel est leur coût psychique ?</w:t>
      </w:r>
    </w:p>
    <w:p w14:paraId="7FCA7933" w14:textId="77777777" w:rsidR="00690EC1" w:rsidRPr="00690EC1" w:rsidRDefault="00690EC1" w:rsidP="00690EC1">
      <w:pPr>
        <w:numPr>
          <w:ilvl w:val="0"/>
          <w:numId w:val="1"/>
        </w:numPr>
        <w:jc w:val="both"/>
      </w:pPr>
      <w:r w:rsidRPr="00690EC1">
        <w:t>Comment évaluer le risque suicidaire dans ce contexte ?</w:t>
      </w:r>
    </w:p>
    <w:p w14:paraId="159899E2" w14:textId="77777777" w:rsidR="00690EC1" w:rsidRPr="00690EC1" w:rsidRDefault="00690EC1" w:rsidP="00690EC1">
      <w:pPr>
        <w:numPr>
          <w:ilvl w:val="0"/>
          <w:numId w:val="1"/>
        </w:numPr>
        <w:jc w:val="both"/>
      </w:pPr>
      <w:r w:rsidRPr="00690EC1">
        <w:lastRenderedPageBreak/>
        <w:t>Quelle est la place de la culpabilité et de la honte dans le maintien des symptômes ?</w:t>
      </w:r>
    </w:p>
    <w:p w14:paraId="1A542C6D" w14:textId="77777777" w:rsidR="00690EC1" w:rsidRPr="00690EC1" w:rsidRDefault="00690EC1" w:rsidP="00690EC1">
      <w:pPr>
        <w:numPr>
          <w:ilvl w:val="0"/>
          <w:numId w:val="1"/>
        </w:numPr>
        <w:jc w:val="both"/>
      </w:pPr>
      <w:r w:rsidRPr="00690EC1">
        <w:t>Quels facteurs de protection peut-on identifier chez cette patiente ?</w:t>
      </w:r>
    </w:p>
    <w:p w14:paraId="2A39035A" w14:textId="77777777" w:rsidR="00690EC1" w:rsidRPr="00690EC1" w:rsidRDefault="00690EC1" w:rsidP="00690EC1">
      <w:pPr>
        <w:numPr>
          <w:ilvl w:val="0"/>
          <w:numId w:val="1"/>
        </w:numPr>
        <w:jc w:val="both"/>
      </w:pPr>
      <w:r w:rsidRPr="00690EC1">
        <w:t>Quelle approche thérapeutique serait la plus adaptée en première intention ?</w:t>
      </w:r>
    </w:p>
    <w:p w14:paraId="68425E8C" w14:textId="77777777" w:rsidR="00690EC1" w:rsidRPr="00690EC1" w:rsidRDefault="00690EC1" w:rsidP="00690EC1">
      <w:pPr>
        <w:numPr>
          <w:ilvl w:val="0"/>
          <w:numId w:val="1"/>
        </w:numPr>
        <w:jc w:val="both"/>
      </w:pPr>
      <w:r w:rsidRPr="00690EC1">
        <w:t xml:space="preserve">Comment aborder la question du trauma en évitant la </w:t>
      </w:r>
      <w:proofErr w:type="spellStart"/>
      <w:r w:rsidRPr="00690EC1">
        <w:t>retraumatisation</w:t>
      </w:r>
      <w:proofErr w:type="spellEnd"/>
      <w:r w:rsidRPr="00690EC1">
        <w:t xml:space="preserve"> ?</w:t>
      </w:r>
    </w:p>
    <w:p w14:paraId="55320C4E" w14:textId="77777777" w:rsidR="00690EC1" w:rsidRPr="00690EC1" w:rsidRDefault="00690EC1" w:rsidP="00690EC1">
      <w:pPr>
        <w:numPr>
          <w:ilvl w:val="0"/>
          <w:numId w:val="1"/>
        </w:numPr>
        <w:jc w:val="both"/>
      </w:pPr>
      <w:r w:rsidRPr="00690EC1">
        <w:t>Quels sont les enjeux spécifiques du travail thérapeutique avec cette patiente ?</w:t>
      </w:r>
    </w:p>
    <w:p w14:paraId="7C0EF84E" w14:textId="77777777" w:rsidR="00690EC1" w:rsidRPr="00690EC1" w:rsidRDefault="00DE2339" w:rsidP="00690EC1">
      <w:pPr>
        <w:jc w:val="both"/>
      </w:pPr>
      <w:r w:rsidRPr="00690EC1">
        <w:rPr>
          <w:noProof/>
        </w:rPr>
        <w:pict w14:anchorId="59A58F5C">
          <v:rect id="_x0000_i1025" alt="" style="width:453.6pt;height:.05pt;mso-width-percent:0;mso-height-percent:0;mso-width-percent:0;mso-height-percent:0" o:hralign="center" o:hrstd="t" o:hr="t" fillcolor="#a0a0a0" stroked="f"/>
        </w:pict>
      </w:r>
    </w:p>
    <w:p w14:paraId="6558BEB8" w14:textId="77777777" w:rsidR="00690EC1" w:rsidRPr="00690EC1" w:rsidRDefault="00690EC1" w:rsidP="00690EC1">
      <w:pPr>
        <w:jc w:val="both"/>
        <w:rPr>
          <w:b/>
          <w:bCs/>
        </w:rPr>
      </w:pPr>
      <w:r w:rsidRPr="00690EC1">
        <w:rPr>
          <w:b/>
          <w:bCs/>
        </w:rPr>
        <w:t>Corrigé développé</w:t>
      </w:r>
    </w:p>
    <w:p w14:paraId="189998C0" w14:textId="77777777" w:rsidR="00690EC1" w:rsidRPr="00690EC1" w:rsidRDefault="00690EC1" w:rsidP="00690EC1">
      <w:pPr>
        <w:jc w:val="both"/>
        <w:rPr>
          <w:b/>
          <w:bCs/>
        </w:rPr>
      </w:pPr>
      <w:r w:rsidRPr="00690EC1">
        <w:rPr>
          <w:b/>
          <w:bCs/>
        </w:rPr>
        <w:t>1. Quels critères du TSPT selon le DSM-5 sont présents dans ce tableau clinique ?</w:t>
      </w:r>
    </w:p>
    <w:p w14:paraId="5785B38C" w14:textId="77777777" w:rsidR="00690EC1" w:rsidRPr="00690EC1" w:rsidRDefault="00690EC1" w:rsidP="00690EC1">
      <w:pPr>
        <w:jc w:val="both"/>
      </w:pPr>
      <w:r w:rsidRPr="00690EC1">
        <w:t>Le tableau clinique de Mademoiselle L. remplit l'ensemble des critères diagnostiques du TSPT selon le DSM-5.</w:t>
      </w:r>
    </w:p>
    <w:p w14:paraId="3F45EBBC" w14:textId="77777777" w:rsidR="00690EC1" w:rsidRPr="00690EC1" w:rsidRDefault="00690EC1" w:rsidP="00690EC1">
      <w:pPr>
        <w:jc w:val="both"/>
      </w:pPr>
      <w:r w:rsidRPr="00690EC1">
        <w:rPr>
          <w:b/>
          <w:bCs/>
        </w:rPr>
        <w:t>Critère A (exposition au traumatisme)</w:t>
      </w:r>
      <w:r w:rsidRPr="00690EC1">
        <w:t> : Elle a été directement exposée à une agression sexuelle, événement impliquant une menace réelle pour son intégrité physique.</w:t>
      </w:r>
    </w:p>
    <w:p w14:paraId="78715805" w14:textId="77777777" w:rsidR="00690EC1" w:rsidRPr="00690EC1" w:rsidRDefault="00690EC1" w:rsidP="00690EC1">
      <w:pPr>
        <w:jc w:val="both"/>
      </w:pPr>
      <w:r w:rsidRPr="00690EC1">
        <w:rPr>
          <w:b/>
          <w:bCs/>
        </w:rPr>
        <w:t>Critère B (symptômes intrusifs)</w:t>
      </w:r>
      <w:r w:rsidRPr="00690EC1">
        <w:t> : Présence de flashbacks sensoriels (odeurs, goûts, sensations corporelles), cauchemars récurrents à contenu traumatique, détresse psychologique intense lors d'indices rappelant le trauma (massage), et réactions physiologiques marquées (crise de panique).</w:t>
      </w:r>
    </w:p>
    <w:p w14:paraId="2F4AB805" w14:textId="77777777" w:rsidR="00690EC1" w:rsidRPr="00690EC1" w:rsidRDefault="00690EC1" w:rsidP="00690EC1">
      <w:pPr>
        <w:jc w:val="both"/>
      </w:pPr>
      <w:r w:rsidRPr="00690EC1">
        <w:rPr>
          <w:b/>
          <w:bCs/>
        </w:rPr>
        <w:t>Critère C (évitement persistant)</w:t>
      </w:r>
      <w:r w:rsidRPr="00690EC1">
        <w:t> : Évitement des stimuli associés (soirées, alcool, intimité physique), évitement des souvenirs et pensées liés au trauma (minimisation, "façade").</w:t>
      </w:r>
    </w:p>
    <w:p w14:paraId="60826990" w14:textId="77777777" w:rsidR="00690EC1" w:rsidRPr="00690EC1" w:rsidRDefault="00690EC1" w:rsidP="00690EC1">
      <w:pPr>
        <w:jc w:val="both"/>
      </w:pPr>
      <w:r w:rsidRPr="00690EC1">
        <w:rPr>
          <w:b/>
          <w:bCs/>
        </w:rPr>
        <w:t>Critère D (altérations négatives des cognitions et de l'humeur)</w:t>
      </w:r>
      <w:r w:rsidRPr="00690EC1">
        <w:t> : Incapacité à se rappeler des aspects importants du trauma (amnésie dissociative), croyances négatives persistantes sur soi ("souillée"), culpabilité inappropriée, détachement d'autrui, restriction des affects positifs, incapacité à éprouver des émotions positives dans l'intimité.</w:t>
      </w:r>
    </w:p>
    <w:p w14:paraId="061899AD" w14:textId="77777777" w:rsidR="00690EC1" w:rsidRPr="00690EC1" w:rsidRDefault="00690EC1" w:rsidP="00690EC1">
      <w:pPr>
        <w:jc w:val="both"/>
      </w:pPr>
      <w:r w:rsidRPr="00690EC1">
        <w:rPr>
          <w:b/>
          <w:bCs/>
        </w:rPr>
        <w:t>Critère E (altérations de l'éveil et de la réactivité)</w:t>
      </w:r>
      <w:r w:rsidRPr="00690EC1">
        <w:t> : Hypervigilance, réaction de sursaut exagérée, troubles du sommeil, difficultés de concentration (épisodes d'absence).</w:t>
      </w:r>
    </w:p>
    <w:p w14:paraId="78CC2596" w14:textId="77777777" w:rsidR="00690EC1" w:rsidRPr="00690EC1" w:rsidRDefault="00690EC1" w:rsidP="00690EC1">
      <w:pPr>
        <w:jc w:val="both"/>
      </w:pPr>
      <w:r w:rsidRPr="00690EC1">
        <w:rPr>
          <w:b/>
          <w:bCs/>
        </w:rPr>
        <w:t>Critères F, G, H</w:t>
      </w:r>
      <w:r w:rsidRPr="00690EC1">
        <w:t> : Durée supérieure à un mois (4 ans), altération significative du fonctionnement social et personnel, non attribuable à une substance ou condition médicale.</w:t>
      </w:r>
    </w:p>
    <w:p w14:paraId="4ACADDFB" w14:textId="77777777" w:rsidR="00690EC1" w:rsidRPr="00690EC1" w:rsidRDefault="00690EC1" w:rsidP="00690EC1">
      <w:pPr>
        <w:jc w:val="both"/>
        <w:rPr>
          <w:b/>
          <w:bCs/>
        </w:rPr>
      </w:pPr>
      <w:r w:rsidRPr="00690EC1">
        <w:rPr>
          <w:b/>
          <w:bCs/>
        </w:rPr>
        <w:t>2. Comment expliquer le délai de 4 ans entre le traumatisme et la consultation ?</w:t>
      </w:r>
    </w:p>
    <w:p w14:paraId="63B2D500" w14:textId="77777777" w:rsidR="00690EC1" w:rsidRPr="00690EC1" w:rsidRDefault="00690EC1" w:rsidP="00690EC1">
      <w:pPr>
        <w:jc w:val="both"/>
      </w:pPr>
      <w:r w:rsidRPr="00690EC1">
        <w:t xml:space="preserve">Ce délai s'explique par plusieurs mécanismes psychologiques et sociaux interconnectés. D'abord, la minimisation défensive ("ça aurait pu être pire") constitue une stratégie </w:t>
      </w:r>
      <w:r w:rsidRPr="00690EC1">
        <w:lastRenderedPageBreak/>
        <w:t>d'adaptation post-traumatique visant à maintenir un sentiment de contrôle et à éviter l'effondrement psychique. Cette minimisation est renforcée par l'évitement familial qui, bien qu'apparemment protecteur, empêche l'élaboration du trauma.</w:t>
      </w:r>
    </w:p>
    <w:p w14:paraId="5EA253A4" w14:textId="77777777" w:rsidR="00690EC1" w:rsidRPr="00690EC1" w:rsidRDefault="00690EC1" w:rsidP="00690EC1">
      <w:pPr>
        <w:jc w:val="both"/>
      </w:pPr>
      <w:r w:rsidRPr="00690EC1">
        <w:t>La honte et la culpabilité, centrales dans les traumas sexuels, créent un silence auto-imposé. La soumission chimique ajoute une dimension particulière : l'absence de souvenirs clairs génère un doute ("est-ce vraiment arrivé ?"), tandis que la culpabilité liée à l'acceptation du verre renforce l'auto-blâme. L'échec de la procédure judiciaire a pu invalider socialement son vécu, renforçant le sentiment que "ce n'était pas si grave".</w:t>
      </w:r>
    </w:p>
    <w:p w14:paraId="146F90F9" w14:textId="77777777" w:rsidR="00690EC1" w:rsidRPr="00690EC1" w:rsidRDefault="00690EC1" w:rsidP="00690EC1">
      <w:pPr>
        <w:jc w:val="both"/>
      </w:pPr>
      <w:r w:rsidRPr="00690EC1">
        <w:t xml:space="preserve">Le maintien d'un fonctionnement académique excellent constitue une forme de coping par </w:t>
      </w:r>
      <w:proofErr w:type="spellStart"/>
      <w:r w:rsidRPr="00690EC1">
        <w:t>hyperadaptation</w:t>
      </w:r>
      <w:proofErr w:type="spellEnd"/>
      <w:r w:rsidRPr="00690EC1">
        <w:t>, permettant de maintenir une identité valorisée socialement tout en évitant la confrontation au trauma. Les symptômes (TCA, évitement) sont tolérés car ils permettent paradoxalement de maintenir un équilibre psychique précaire. C'est la rupture de cet équilibre lors du massage - situation de vulnérabilité corporelle rappelant le trauma - qui précipite la demande d'aide.</w:t>
      </w:r>
    </w:p>
    <w:p w14:paraId="1719647F" w14:textId="77777777" w:rsidR="00690EC1" w:rsidRPr="00690EC1" w:rsidRDefault="00690EC1" w:rsidP="00690EC1">
      <w:pPr>
        <w:jc w:val="both"/>
        <w:rPr>
          <w:b/>
          <w:bCs/>
        </w:rPr>
      </w:pPr>
      <w:r w:rsidRPr="00690EC1">
        <w:rPr>
          <w:b/>
          <w:bCs/>
        </w:rPr>
        <w:t>3. Quelles sont les manifestations dissociatives spécifiques et leur fonction adaptative ?</w:t>
      </w:r>
    </w:p>
    <w:p w14:paraId="44310CEA" w14:textId="77777777" w:rsidR="00690EC1" w:rsidRPr="00690EC1" w:rsidRDefault="00690EC1" w:rsidP="00690EC1">
      <w:pPr>
        <w:jc w:val="both"/>
      </w:pPr>
      <w:r w:rsidRPr="00690EC1">
        <w:t>Les manifestations dissociatives chez Mademoiselle L. s'organisent sur plusieurs niveaux. La déréalisation (monde "derrière une vitre") et les absences ("déconnexion") constituent des mécanismes de protection immédiats face à l'anxiété envahissante, permettant une mise à distance de la réalité perçue comme menaçante. L'amnésie dissociative, concernant l'événement traumatique mais aussi des périodes post-traumatiques, protège le psychisme de contenus émotionnels intolérables.</w:t>
      </w:r>
    </w:p>
    <w:p w14:paraId="28C9505D" w14:textId="77777777" w:rsidR="00690EC1" w:rsidRPr="00690EC1" w:rsidRDefault="00690EC1" w:rsidP="00690EC1">
      <w:pPr>
        <w:jc w:val="both"/>
      </w:pPr>
      <w:r w:rsidRPr="00690EC1">
        <w:t xml:space="preserve">Les épisodes où elle se retrouve dans des lieux sans souvenir du trajet suggèrent des états dissociatifs plus profonds, possiblement des fugues dissociatives mineures, survenant lors de stress intense. Ces états permettent une "sortie" psychique temporaire face à des situations </w:t>
      </w:r>
      <w:proofErr w:type="spellStart"/>
      <w:r w:rsidRPr="00690EC1">
        <w:t>overwhelming</w:t>
      </w:r>
      <w:proofErr w:type="spellEnd"/>
      <w:r w:rsidRPr="00690EC1">
        <w:t>.</w:t>
      </w:r>
    </w:p>
    <w:p w14:paraId="4E1CD414" w14:textId="77777777" w:rsidR="00690EC1" w:rsidRPr="00690EC1" w:rsidRDefault="00690EC1" w:rsidP="00690EC1">
      <w:pPr>
        <w:jc w:val="both"/>
      </w:pPr>
      <w:r w:rsidRPr="00690EC1">
        <w:t>La fonction adaptative de ces mécanismes est multiple : protection contre la reviviscence traumatique, régulation émotionnelle automatique face au débordement, maintien d'un fonctionnement apparent en "compartimentant" l'expérience traumatique. Cependant, cette fragmentation de l'expérience empêche l'intégration du trauma et maintient les symptômes. La dissociation, initialement protectrice lors du trauma (permettant la survie psychique face à l'horreur), devient pathologique en se généralisant à des situations non dangereuses.</w:t>
      </w:r>
    </w:p>
    <w:p w14:paraId="4300EA5E" w14:textId="77777777" w:rsidR="00690EC1" w:rsidRPr="00690EC1" w:rsidRDefault="00690EC1" w:rsidP="00690EC1">
      <w:pPr>
        <w:jc w:val="both"/>
        <w:rPr>
          <w:b/>
          <w:bCs/>
        </w:rPr>
      </w:pPr>
      <w:r w:rsidRPr="00690EC1">
        <w:rPr>
          <w:b/>
          <w:bCs/>
        </w:rPr>
        <w:t>4. Quel est le lien entre le trouble alimentaire et le traumatisme sexuel ?</w:t>
      </w:r>
    </w:p>
    <w:p w14:paraId="152BEF98" w14:textId="77777777" w:rsidR="00690EC1" w:rsidRPr="00690EC1" w:rsidRDefault="00690EC1" w:rsidP="00690EC1">
      <w:pPr>
        <w:jc w:val="both"/>
      </w:pPr>
      <w:r w:rsidRPr="00690EC1">
        <w:t xml:space="preserve">Le développement d'une anorexie restrictive puis d'une boulimie-vomissements chez Mademoiselle L. s'inscrit directement dans la dynamique post-traumatique. Le désir de "disparaître" et "devenir invisible" exprimé explicitement révèle une tentative de </w:t>
      </w:r>
      <w:r w:rsidRPr="00690EC1">
        <w:lastRenderedPageBreak/>
        <w:t>protection contre toute forme d'attention, particulièrement masculine, perçue comme potentiellement prédatrice. La maigreur devient une "désexualisation" du corps, une manière de le rendre moins attractif, donc moins vulnérable.</w:t>
      </w:r>
    </w:p>
    <w:p w14:paraId="51934CB8" w14:textId="77777777" w:rsidR="00690EC1" w:rsidRPr="00690EC1" w:rsidRDefault="00690EC1" w:rsidP="00690EC1">
      <w:pPr>
        <w:jc w:val="both"/>
      </w:pPr>
      <w:r w:rsidRPr="00690EC1">
        <w:t>Le contrôle alimentaire obsessionnel offre un sentiment de maîtrise là où le trauma a signifié une perte totale de contrôle. Face à l'impuissance vécue lors du viol, contrôler minutieusement chaque aliment ingéré restaure une illusion de pouvoir sur son corps. Les vomissements provoqués peuvent symboliquement représenter une tentative d'expulsion de la souillure ressentie, un "nettoyage" répétitif du dedans.</w:t>
      </w:r>
    </w:p>
    <w:p w14:paraId="1AF31905" w14:textId="77777777" w:rsidR="00690EC1" w:rsidRPr="00690EC1" w:rsidRDefault="00690EC1" w:rsidP="00690EC1">
      <w:pPr>
        <w:jc w:val="both"/>
      </w:pPr>
      <w:r w:rsidRPr="00690EC1">
        <w:t xml:space="preserve">La perception du corps comme "souillé" et "étranger" témoigne d'une dissociation somatique profonde. Le TCA devient alors une attaque contre ce corps-objet du trauma, à la fois puni et contrôlé. L'alternance restriction/boulimie peut refléter les oscillations entre </w:t>
      </w:r>
      <w:proofErr w:type="spellStart"/>
      <w:r w:rsidRPr="00690EC1">
        <w:t>hypercontrôle</w:t>
      </w:r>
      <w:proofErr w:type="spellEnd"/>
      <w:r w:rsidRPr="00690EC1">
        <w:t xml:space="preserve"> défensif et effondrement de ces défenses, reproduisant la dynamique traumatique de contrôle/perte de contrôle.</w:t>
      </w:r>
    </w:p>
    <w:p w14:paraId="7B13970D" w14:textId="77777777" w:rsidR="00690EC1" w:rsidRPr="00690EC1" w:rsidRDefault="00690EC1" w:rsidP="00690EC1">
      <w:pPr>
        <w:jc w:val="both"/>
        <w:rPr>
          <w:b/>
          <w:bCs/>
        </w:rPr>
      </w:pPr>
      <w:r w:rsidRPr="00690EC1">
        <w:rPr>
          <w:b/>
          <w:bCs/>
        </w:rPr>
        <w:t>5. Comment comprendre la fonction du contrôle alimentaire dans ce contexte ?</w:t>
      </w:r>
    </w:p>
    <w:p w14:paraId="3996BD71" w14:textId="77777777" w:rsidR="00690EC1" w:rsidRPr="00690EC1" w:rsidRDefault="00690EC1" w:rsidP="00690EC1">
      <w:pPr>
        <w:jc w:val="both"/>
      </w:pPr>
      <w:r w:rsidRPr="00690EC1">
        <w:t>Le contrôle alimentaire remplit plusieurs fonctions psychiques essentielles dans l'économie post-traumatique. D'abord, il constitue un déplacement : l'anxiété diffuse et envahissante liée au trauma se focalise sur l'alimentation, domaine apparemment maîtrisable. Cette focalisation offre un soulagement paradoxal en donnant une forme concrète à l'angoisse.</w:t>
      </w:r>
    </w:p>
    <w:p w14:paraId="66EE6B4B" w14:textId="77777777" w:rsidR="00690EC1" w:rsidRPr="00690EC1" w:rsidRDefault="00690EC1" w:rsidP="00690EC1">
      <w:pPr>
        <w:jc w:val="both"/>
      </w:pPr>
      <w:r w:rsidRPr="00690EC1">
        <w:t xml:space="preserve">Ensuite, il représente une tentative de régulation émotionnelle. La restriction génère des modifications neurobiologiques (endorphines) procurant un apaisement temporaire, tandis que les crises de boulimie peuvent correspondre à des moments de débordement émotionnel où la nourriture sert d'anesthésiant. Le cycle restriction/boulimie/purge devient un système </w:t>
      </w:r>
      <w:proofErr w:type="spellStart"/>
      <w:r w:rsidRPr="00690EC1">
        <w:t>auto-régulateur</w:t>
      </w:r>
      <w:proofErr w:type="spellEnd"/>
      <w:r w:rsidRPr="00690EC1">
        <w:t xml:space="preserve"> dysfonctionnel mais prévisible.</w:t>
      </w:r>
    </w:p>
    <w:p w14:paraId="639714E1" w14:textId="77777777" w:rsidR="00690EC1" w:rsidRPr="00690EC1" w:rsidRDefault="00690EC1" w:rsidP="00690EC1">
      <w:pPr>
        <w:jc w:val="both"/>
      </w:pPr>
      <w:r w:rsidRPr="00690EC1">
        <w:t>Le contrôle alimentaire offre également une identité alternative ("anorexique") à celle de "victime", permettant un déplacement narratif. Enfin, il maintient l'évitement du trauma : l'énergie psychique investie dans les préoccupations alimentaires laisse moins d'espace mental pour les pensées traumatiques. Cette fonction d'écran fait du TCA un symptôme difficile à abandonner car il protège de la confrontation directe au trauma.</w:t>
      </w:r>
    </w:p>
    <w:p w14:paraId="3608E683" w14:textId="77777777" w:rsidR="00690EC1" w:rsidRPr="00690EC1" w:rsidRDefault="00690EC1" w:rsidP="00690EC1">
      <w:pPr>
        <w:jc w:val="both"/>
        <w:rPr>
          <w:b/>
          <w:bCs/>
        </w:rPr>
      </w:pPr>
      <w:r w:rsidRPr="00690EC1">
        <w:rPr>
          <w:b/>
          <w:bCs/>
        </w:rPr>
        <w:t>6. Quels mécanismes neurobiologiques peuvent expliquer la réaction au massage ?</w:t>
      </w:r>
    </w:p>
    <w:p w14:paraId="0E800337" w14:textId="77777777" w:rsidR="00690EC1" w:rsidRPr="00690EC1" w:rsidRDefault="00690EC1" w:rsidP="00690EC1">
      <w:pPr>
        <w:jc w:val="both"/>
      </w:pPr>
      <w:r w:rsidRPr="00690EC1">
        <w:t>La réaction de panique lors du massage s'explique par l'activation de circuits neurobiologiques spécifiquement sensibilisés par le trauma. Le système d'alarme (amygdale) a encodé certains stimuli sensoriels présents lors du viol : contact physique en position allongée, vulnérabilité corporelle, perte de contrôle visuel, proximité physique d'un inconnu.</w:t>
      </w:r>
    </w:p>
    <w:p w14:paraId="6007FD5D" w14:textId="77777777" w:rsidR="00690EC1" w:rsidRPr="00690EC1" w:rsidRDefault="00690EC1" w:rsidP="00690EC1">
      <w:pPr>
        <w:jc w:val="both"/>
      </w:pPr>
      <w:r w:rsidRPr="00690EC1">
        <w:t xml:space="preserve">Ces stimuli, même dans un contexte objectivement sécure, déclenchent une réponse de stress aigu via l'axe </w:t>
      </w:r>
      <w:proofErr w:type="spellStart"/>
      <w:r w:rsidRPr="00690EC1">
        <w:t>hypothalamo</w:t>
      </w:r>
      <w:proofErr w:type="spellEnd"/>
      <w:r w:rsidRPr="00690EC1">
        <w:t>-</w:t>
      </w:r>
      <w:proofErr w:type="spellStart"/>
      <w:r w:rsidRPr="00690EC1">
        <w:t>hypophyso</w:t>
      </w:r>
      <w:proofErr w:type="spellEnd"/>
      <w:r w:rsidRPr="00690EC1">
        <w:t xml:space="preserve">-surrénalien. L'amygdale, hyperactive chez </w:t>
      </w:r>
      <w:r w:rsidRPr="00690EC1">
        <w:lastRenderedPageBreak/>
        <w:t>les personnes avec TSPT, court-circuite le cortex préfrontal (analyse rationnelle) et active directement le système nerveux sympathique : accélération cardiaque, hyperventilation, tension musculaire, préparation à la fuite ou au combat.</w:t>
      </w:r>
    </w:p>
    <w:p w14:paraId="2D8FD551" w14:textId="77777777" w:rsidR="00690EC1" w:rsidRPr="00690EC1" w:rsidRDefault="00690EC1" w:rsidP="00690EC1">
      <w:pPr>
        <w:jc w:val="both"/>
      </w:pPr>
      <w:r w:rsidRPr="00690EC1">
        <w:t>Le phénomène de "</w:t>
      </w:r>
      <w:proofErr w:type="spellStart"/>
      <w:r w:rsidRPr="00690EC1">
        <w:t>kindling</w:t>
      </w:r>
      <w:proofErr w:type="spellEnd"/>
      <w:r w:rsidRPr="00690EC1">
        <w:t>" (embrasement) explique pourquoi la réaction est disproportionnée : chaque activation du système d'alarme abaisse le seuil de déclenchement suivant. La mémoire implicite corporelle, distincte de la mémoire explicite narrative, a encodé l'expérience traumatique sous forme de sensations. Le massage réactive cette mémoire somatique, provoquant une reviviscence corporelle du trauma sans nécessairement de souvenirs visuels associés.</w:t>
      </w:r>
    </w:p>
    <w:p w14:paraId="01F759EC" w14:textId="77777777" w:rsidR="00690EC1" w:rsidRPr="00690EC1" w:rsidRDefault="00690EC1" w:rsidP="00690EC1">
      <w:pPr>
        <w:jc w:val="both"/>
        <w:rPr>
          <w:b/>
          <w:bCs/>
        </w:rPr>
      </w:pPr>
      <w:r w:rsidRPr="00690EC1">
        <w:rPr>
          <w:b/>
          <w:bCs/>
        </w:rPr>
        <w:t>7. Comment analyser les troubles de la sexualité dans une perspective post-traumatique ?</w:t>
      </w:r>
    </w:p>
    <w:p w14:paraId="09416FE1" w14:textId="77777777" w:rsidR="00690EC1" w:rsidRPr="00690EC1" w:rsidRDefault="00690EC1" w:rsidP="00690EC1">
      <w:pPr>
        <w:jc w:val="both"/>
      </w:pPr>
      <w:r w:rsidRPr="00690EC1">
        <w:t>Les troubles sexuels de Mademoiselle L. constituent une réponse adaptative complexe au trauma sexuel. L'aversion sexuelle totale représente un évitement phobique de tout stimuli rappelant le trauma. Le système nerveux a associé intimité physique et danger mortel, rendant impossible la relaxation nécessaire à une sexualité épanouie.</w:t>
      </w:r>
    </w:p>
    <w:p w14:paraId="2E6DC69C" w14:textId="77777777" w:rsidR="00690EC1" w:rsidRPr="00690EC1" w:rsidRDefault="00690EC1" w:rsidP="00690EC1">
      <w:pPr>
        <w:jc w:val="both"/>
      </w:pPr>
      <w:r w:rsidRPr="00690EC1">
        <w:t>La culpabilité face à son "incapacité" révèle l'intériorisation d'injonctions sociales sur la sexualité "normale", créant une double peine : victime du trauma puis coupable de ses conséquences. Les stratégies d'évitement élaborées témoignent de l'énergie psychique considérable déployée pour maintenir cette protection.</w:t>
      </w:r>
    </w:p>
    <w:p w14:paraId="44691E29" w14:textId="77777777" w:rsidR="00690EC1" w:rsidRPr="00690EC1" w:rsidRDefault="00690EC1" w:rsidP="00690EC1">
      <w:pPr>
        <w:jc w:val="both"/>
      </w:pPr>
      <w:r w:rsidRPr="00690EC1">
        <w:t>Les sensations corporelles intrusives (douleurs pelviennes, étouffement) lors de moments d'intimité sont des flashbacks somatiques, fragments sensoriels non intégrés du trauma. Le corps "se souvient" et réagit comme si le danger était présent. Cette mémoire corporelle traumatique rend impossible la construction d'une sexualité positive, le plaisir étant neurologiquement associé au danger. La récupération nécessitera un travail spécifique de désensibilisation et de réappropriation corporelle progressive.</w:t>
      </w:r>
    </w:p>
    <w:p w14:paraId="0FB6F123" w14:textId="77777777" w:rsidR="00690EC1" w:rsidRPr="00690EC1" w:rsidRDefault="00690EC1" w:rsidP="00690EC1">
      <w:pPr>
        <w:jc w:val="both"/>
        <w:rPr>
          <w:b/>
          <w:bCs/>
        </w:rPr>
      </w:pPr>
      <w:r w:rsidRPr="00690EC1">
        <w:rPr>
          <w:b/>
          <w:bCs/>
        </w:rPr>
        <w:t>8. Quel est le rôle de la soumission chimique dans la complexité du tableau ?</w:t>
      </w:r>
    </w:p>
    <w:p w14:paraId="784D8C9A" w14:textId="77777777" w:rsidR="00690EC1" w:rsidRPr="00690EC1" w:rsidRDefault="00690EC1" w:rsidP="00690EC1">
      <w:pPr>
        <w:jc w:val="both"/>
      </w:pPr>
      <w:r w:rsidRPr="00690EC1">
        <w:t>La soumission chimique ajoute des dimensions spécifiques qui complexifient le tableau clinique. L'altération de conscience induite chimiquement a créé une expérience de dépersonnalisation extrême : être présente tout en étant absente, consciente mais impuissante. Cette expérience paradoxale favorise le développement de symptômes dissociatifs durables, le psychisme ayant "appris" à se déconnecter.</w:t>
      </w:r>
    </w:p>
    <w:p w14:paraId="5217D553" w14:textId="77777777" w:rsidR="00690EC1" w:rsidRPr="00690EC1" w:rsidRDefault="00690EC1" w:rsidP="00690EC1">
      <w:pPr>
        <w:jc w:val="both"/>
      </w:pPr>
      <w:r w:rsidRPr="00690EC1">
        <w:t>L'amnésie partielle génère un doute perpétuel sur la réalité de l'événement, empêchant la construction d'un récit cohérent nécessaire à l'intégration traumatique. Les fragments mnésiques (sensoriels plus que narratifs) créent une confusion cognitive : "que s'est-il vraiment passé ?". Ce doute est renforcé socialement par l'absence de preuves judiciaires.</w:t>
      </w:r>
    </w:p>
    <w:p w14:paraId="775FA1D9" w14:textId="77777777" w:rsidR="00690EC1" w:rsidRPr="00690EC1" w:rsidRDefault="00690EC1" w:rsidP="00690EC1">
      <w:pPr>
        <w:jc w:val="both"/>
      </w:pPr>
      <w:r w:rsidRPr="00690EC1">
        <w:lastRenderedPageBreak/>
        <w:t>La perte de contrôle chimiquement induite amplifie le vécu d'impuissance, central dans le trauma. L'impossibilité de fuite ou de combat (sidération chimique) laisse des traces neurobiologiques profondes. Enfin, l'auto-culpabilisation liée à l'acceptation du verre ("j'aurais dû savoir") maintient une illusion de contrôle rétrospectif, paradoxalement moins insupportable que l'acceptation de la vulnérabilité totale.</w:t>
      </w:r>
    </w:p>
    <w:p w14:paraId="2AD0F3BA" w14:textId="77777777" w:rsidR="00690EC1" w:rsidRPr="00690EC1" w:rsidRDefault="00690EC1" w:rsidP="00690EC1">
      <w:pPr>
        <w:jc w:val="both"/>
        <w:rPr>
          <w:b/>
          <w:bCs/>
        </w:rPr>
      </w:pPr>
      <w:r w:rsidRPr="00690EC1">
        <w:rPr>
          <w:b/>
          <w:bCs/>
        </w:rPr>
        <w:t>9. Quelles stratégies d'évitement sont mises en place et quel est leur coût psychique ?</w:t>
      </w:r>
    </w:p>
    <w:p w14:paraId="2D22DDA5" w14:textId="77777777" w:rsidR="00690EC1" w:rsidRPr="00690EC1" w:rsidRDefault="00690EC1" w:rsidP="00690EC1">
      <w:pPr>
        <w:jc w:val="both"/>
      </w:pPr>
      <w:r w:rsidRPr="00690EC1">
        <w:t>Mademoiselle L. a développé un système d'évitement complexe et multi-niveaux. L'évitement comportemental inclut le refus des soirées, de l'alcool, des espaces confinés, et de toute situation d'intimité physique. Les rituels de sécurité (vérification des issues, positionnement spatial) visent à maintenir une illusion de contrôle et de possibilité de fuite.</w:t>
      </w:r>
    </w:p>
    <w:p w14:paraId="2D9DC9D3" w14:textId="77777777" w:rsidR="00690EC1" w:rsidRPr="00690EC1" w:rsidRDefault="00690EC1" w:rsidP="00690EC1">
      <w:pPr>
        <w:jc w:val="both"/>
      </w:pPr>
      <w:r w:rsidRPr="00690EC1">
        <w:t>L'évitement cognitif se manifeste par la minimisation ("d'autres vivent pire"), la dissociation (déconnexion mentale), et le déplacement sur les préoccupations alimentaires. L'évitement émotionnel passe par la restriction affective, le détachement relationnel progressif, et l'</w:t>
      </w:r>
      <w:proofErr w:type="spellStart"/>
      <w:r w:rsidRPr="00690EC1">
        <w:t>hyperinvestissement</w:t>
      </w:r>
      <w:proofErr w:type="spellEnd"/>
      <w:r w:rsidRPr="00690EC1">
        <w:t xml:space="preserve"> académique qui offre une identité alternative valorisée.</w:t>
      </w:r>
    </w:p>
    <w:p w14:paraId="1954770D" w14:textId="77777777" w:rsidR="00690EC1" w:rsidRPr="00690EC1" w:rsidRDefault="00690EC1" w:rsidP="00690EC1">
      <w:pPr>
        <w:jc w:val="both"/>
      </w:pPr>
      <w:r w:rsidRPr="00690EC1">
        <w:t>Le coût psychique est considérable : épuisement lié à l'hypervigilance constante, appauvrissement de la vie sociale et affective, impossibilité de construire une intimité authentique, maintien des symptômes par non-confrontation. L'évitement, initialement protecteur, devient une prison psychique. Il génère une anxiété anticipatoire croissante et un rétrécissement progressif de l'espace de vie. La généralisation de l'évitement (du trauma spécifique vers des situations de plus en plus larges) témoigne de l'échec de cette stratégie à long terme.</w:t>
      </w:r>
    </w:p>
    <w:p w14:paraId="5867E791" w14:textId="77777777" w:rsidR="00690EC1" w:rsidRPr="00690EC1" w:rsidRDefault="00690EC1" w:rsidP="00690EC1">
      <w:pPr>
        <w:jc w:val="both"/>
        <w:rPr>
          <w:b/>
          <w:bCs/>
        </w:rPr>
      </w:pPr>
      <w:r w:rsidRPr="00690EC1">
        <w:rPr>
          <w:b/>
          <w:bCs/>
        </w:rPr>
        <w:t>10. Comment évaluer le risque suicidaire dans ce contexte ?</w:t>
      </w:r>
    </w:p>
    <w:p w14:paraId="252B8835" w14:textId="77777777" w:rsidR="00690EC1" w:rsidRPr="00690EC1" w:rsidRDefault="00690EC1" w:rsidP="00690EC1">
      <w:pPr>
        <w:jc w:val="both"/>
      </w:pPr>
      <w:r w:rsidRPr="00690EC1">
        <w:t>L'évaluation du risque suicidaire chez Mademoiselle L. doit prendre en compte plusieurs facteurs de vulnérabilité spécifiques. Le TSPT lui-même constitue un facteur de risque majeur, particulièrement associé à des troubles comorbides (TCA, probable dépression). L'isolement social progressif diminue les facteurs de protection naturels.</w:t>
      </w:r>
    </w:p>
    <w:p w14:paraId="12152DA0" w14:textId="77777777" w:rsidR="00690EC1" w:rsidRPr="00690EC1" w:rsidRDefault="00690EC1" w:rsidP="00690EC1">
      <w:pPr>
        <w:jc w:val="both"/>
      </w:pPr>
      <w:r w:rsidRPr="00690EC1">
        <w:t>Le sentiment d'être "souillée" et la honte chronique peuvent générer des idéations suicidaires comme solution à une souffrance perçue comme interminable et honteuse. L'épuisement lié au maintien de la "façade" augmente la vulnérabilité. La chronicité des symptômes (4 ans) peut générer un désespoir quant aux possibilités d'amélioration.</w:t>
      </w:r>
    </w:p>
    <w:p w14:paraId="51841AD5" w14:textId="77777777" w:rsidR="00690EC1" w:rsidRPr="00690EC1" w:rsidRDefault="00690EC1" w:rsidP="00690EC1">
      <w:pPr>
        <w:jc w:val="both"/>
      </w:pPr>
      <w:r w:rsidRPr="00690EC1">
        <w:t xml:space="preserve">Cependant, certains facteurs protecteurs sont identifiables : maintien d'un projet académique, relation amoureuse (même si difficile), famille soutenante, demande d'aide actuelle témoignant d'un désir de changement. L'évaluation doit être directe, explorer les idéations, plans éventuels, moyens disponibles, tout en renforçant l'alliance </w:t>
      </w:r>
      <w:r w:rsidRPr="00690EC1">
        <w:lastRenderedPageBreak/>
        <w:t>thérapeutique. Une attention particulière doit être portée aux moments de levée des défenses (début de thérapie) où le risque peut paradoxalement augmenter temporairement.</w:t>
      </w:r>
    </w:p>
    <w:p w14:paraId="540630B3" w14:textId="77777777" w:rsidR="00690EC1" w:rsidRPr="00690EC1" w:rsidRDefault="00690EC1" w:rsidP="00690EC1">
      <w:pPr>
        <w:jc w:val="both"/>
        <w:rPr>
          <w:b/>
          <w:bCs/>
        </w:rPr>
      </w:pPr>
      <w:r w:rsidRPr="00690EC1">
        <w:rPr>
          <w:b/>
          <w:bCs/>
        </w:rPr>
        <w:t>11. Quelle est la place de la culpabilité et de la honte dans le maintien des symptômes ?</w:t>
      </w:r>
    </w:p>
    <w:p w14:paraId="0C871C45" w14:textId="77777777" w:rsidR="00690EC1" w:rsidRPr="00690EC1" w:rsidRDefault="00690EC1" w:rsidP="00690EC1">
      <w:pPr>
        <w:jc w:val="both"/>
      </w:pPr>
      <w:r w:rsidRPr="00690EC1">
        <w:t>La culpabilité et la honte occupent une place centrale dans la perpétuation du tableau clinique. La culpabilité, centrée sur l'action ("j'ai accepté le verre", "je n'ai pas su me protéger"), maintient une illusion de contrôle rétrospectif. Cette auto-attribution de responsabilité, bien que douloureuse, est paradoxalement moins terrifiante que l'acceptation de la vulnérabilité fondamentale humaine.</w:t>
      </w:r>
    </w:p>
    <w:p w14:paraId="3654435B" w14:textId="77777777" w:rsidR="00690EC1" w:rsidRPr="00690EC1" w:rsidRDefault="00690EC1" w:rsidP="00690EC1">
      <w:pPr>
        <w:jc w:val="both"/>
      </w:pPr>
      <w:r w:rsidRPr="00690EC1">
        <w:t>La honte, plus profonde, touche l'identité même ("je suis souillée", "je suis brisée"). Elle génère un sentiment d'indignité fondamentale qui empêche de rechercher aide et soutien. La honte corporelle alimente les TCA et troubles sexuels, le corps devenant l'objet concret de cette honte. Elle maintient le silence et l'isolement, empêchant l'élaboration sociale du trauma.</w:t>
      </w:r>
    </w:p>
    <w:p w14:paraId="59A8CE0D" w14:textId="77777777" w:rsidR="00690EC1" w:rsidRPr="00690EC1" w:rsidRDefault="00690EC1" w:rsidP="00690EC1">
      <w:pPr>
        <w:jc w:val="both"/>
      </w:pPr>
      <w:r w:rsidRPr="00690EC1">
        <w:t>Ces affects négatifs créent un cercle vicieux : ils génèrent des comportements d'évitement et d'</w:t>
      </w:r>
      <w:proofErr w:type="spellStart"/>
      <w:r w:rsidRPr="00690EC1">
        <w:t>auto-punition</w:t>
      </w:r>
      <w:proofErr w:type="spellEnd"/>
      <w:r w:rsidRPr="00690EC1">
        <w:t xml:space="preserve"> (restriction alimentaire, isolement) qui renforcent en retour le sentiment de honte ("je ne suis même pas capable d'avoir une vie normale"). Ils bloquent l'accès à l'</w:t>
      </w:r>
      <w:proofErr w:type="spellStart"/>
      <w:r w:rsidRPr="00690EC1">
        <w:t>auto-compassion</w:t>
      </w:r>
      <w:proofErr w:type="spellEnd"/>
      <w:r w:rsidRPr="00690EC1">
        <w:t xml:space="preserve"> nécessaire à la guérison et maintiennent une position de victime coupable plutôt que de survivante légitime.</w:t>
      </w:r>
    </w:p>
    <w:p w14:paraId="3BF5BA51" w14:textId="77777777" w:rsidR="00690EC1" w:rsidRPr="00690EC1" w:rsidRDefault="00690EC1" w:rsidP="00690EC1">
      <w:pPr>
        <w:jc w:val="both"/>
        <w:rPr>
          <w:b/>
          <w:bCs/>
        </w:rPr>
      </w:pPr>
      <w:r w:rsidRPr="00690EC1">
        <w:rPr>
          <w:b/>
          <w:bCs/>
        </w:rPr>
        <w:t>12. Quels facteurs de protection peut-on identifier chez cette patiente ?</w:t>
      </w:r>
    </w:p>
    <w:p w14:paraId="5CF976FD" w14:textId="77777777" w:rsidR="00690EC1" w:rsidRPr="00690EC1" w:rsidRDefault="00690EC1" w:rsidP="00690EC1">
      <w:pPr>
        <w:jc w:val="both"/>
      </w:pPr>
      <w:r w:rsidRPr="00690EC1">
        <w:t>Malgré la sévérité du tableau, plusieurs facteurs de protection significatifs peuvent être identifiés. L'excellence académique maintenue témoigne de capacités cognitives préservées et d'une motivation à construire un avenir. Cela suggère des ressources internes mobilisables et une capacité à investir des objectifs à long terme.</w:t>
      </w:r>
    </w:p>
    <w:p w14:paraId="69569F46" w14:textId="77777777" w:rsidR="00690EC1" w:rsidRPr="00690EC1" w:rsidRDefault="00690EC1" w:rsidP="00690EC1">
      <w:pPr>
        <w:jc w:val="both"/>
      </w:pPr>
      <w:r w:rsidRPr="00690EC1">
        <w:t>La présence d'une relation amoureuse, même difficile, indique une capacité résiduelle à l'attachement et un désir de connexion. Le fait que son partenaire soit resté malgré les difficultés suggère un soutien potentiel. La famille "soutenante", même dans l'évitement, représente un filet de sécurité affectif et matériel.</w:t>
      </w:r>
    </w:p>
    <w:p w14:paraId="3B2938B1" w14:textId="77777777" w:rsidR="00690EC1" w:rsidRPr="00690EC1" w:rsidRDefault="00690EC1" w:rsidP="00690EC1">
      <w:pPr>
        <w:jc w:val="both"/>
      </w:pPr>
      <w:r w:rsidRPr="00690EC1">
        <w:t>La capacité d'introspection démontrée (conscience de ses symptômes, capacité à faire des liens) constitue un atout thérapeutique majeur. Le fait qu'elle ait finalement consulté après l'épisode du massage témoigne d'une capacité à reconnaître ses limites et à demander de l'aide. Son jeune âge offre une plasticité neuronale et psychique favorable. Enfin, l'absence d'addiction aux substances (évitement de l'alcool) élimine un facteur de complication fréquent.</w:t>
      </w:r>
    </w:p>
    <w:p w14:paraId="3770A63C" w14:textId="77777777" w:rsidR="00690EC1" w:rsidRPr="00690EC1" w:rsidRDefault="00690EC1" w:rsidP="00690EC1">
      <w:pPr>
        <w:jc w:val="both"/>
        <w:rPr>
          <w:b/>
          <w:bCs/>
        </w:rPr>
      </w:pPr>
      <w:r w:rsidRPr="00690EC1">
        <w:rPr>
          <w:b/>
          <w:bCs/>
        </w:rPr>
        <w:t>13. Quelle approche thérapeutique serait la plus adaptée en première intention ?</w:t>
      </w:r>
    </w:p>
    <w:p w14:paraId="77A60DA8" w14:textId="77777777" w:rsidR="00690EC1" w:rsidRPr="00690EC1" w:rsidRDefault="00690EC1" w:rsidP="00690EC1">
      <w:pPr>
        <w:jc w:val="both"/>
      </w:pPr>
      <w:r w:rsidRPr="00690EC1">
        <w:lastRenderedPageBreak/>
        <w:t>L'approche thérapeutique doit être intégrative et phasée, respectant le rythme de la patiente. La stabilisation constitue la première phase essentielle : établir une alliance thérapeutique solide, psychoéducation sur le TSPT et ses symptômes (normalisation), techniques de régulation émotionnelle (respiration, ancrage, pleine conscience adaptée), et gestion des symptômes les plus invalidants.</w:t>
      </w:r>
    </w:p>
    <w:p w14:paraId="3866D946" w14:textId="77777777" w:rsidR="00690EC1" w:rsidRPr="00690EC1" w:rsidRDefault="00690EC1" w:rsidP="00690EC1">
      <w:pPr>
        <w:jc w:val="both"/>
      </w:pPr>
      <w:r w:rsidRPr="00690EC1">
        <w:t xml:space="preserve">Une thérapie trauma-focalisée sera nécessaire, idéalement l'EMDR (Eye </w:t>
      </w:r>
      <w:proofErr w:type="spellStart"/>
      <w:r w:rsidRPr="00690EC1">
        <w:t>Movement</w:t>
      </w:r>
      <w:proofErr w:type="spellEnd"/>
      <w:r w:rsidRPr="00690EC1">
        <w:t xml:space="preserve"> </w:t>
      </w:r>
      <w:proofErr w:type="spellStart"/>
      <w:r w:rsidRPr="00690EC1">
        <w:t>Desensitization</w:t>
      </w:r>
      <w:proofErr w:type="spellEnd"/>
      <w:r w:rsidRPr="00690EC1">
        <w:t xml:space="preserve"> and </w:t>
      </w:r>
      <w:proofErr w:type="spellStart"/>
      <w:r w:rsidRPr="00690EC1">
        <w:t>Reprocessing</w:t>
      </w:r>
      <w:proofErr w:type="spellEnd"/>
      <w:r w:rsidRPr="00690EC1">
        <w:t>) ou la thérapie par exposition prolongée, ayant démontré leur efficacité dans le TSPT. L'EMDR semble particulièrement indiquée vu l'importance des symptômes dissociatifs et somatiques. Le travail devra inclure progressivement les mémoires traumatiques fragmentées.</w:t>
      </w:r>
    </w:p>
    <w:p w14:paraId="5CAA13FE" w14:textId="77777777" w:rsidR="00690EC1" w:rsidRPr="00690EC1" w:rsidRDefault="00690EC1" w:rsidP="00690EC1">
      <w:pPr>
        <w:jc w:val="both"/>
      </w:pPr>
      <w:r w:rsidRPr="00690EC1">
        <w:t xml:space="preserve">Parallèlement, une approche spécifique des TCA est nécessaire, possiblement en collaboration avec une équipe spécialisée. L'approche corporelle douce (yoga thérapeutique, relaxation progressive) aidera à la réappropriation corporelle. Un travail spécifique sur la sexualité pourra être entrepris ultérieurement, possiblement en thérapie de couple. L'approche doit rester flexible, attentive aux résistances légitimes et au risque de </w:t>
      </w:r>
      <w:proofErr w:type="spellStart"/>
      <w:r w:rsidRPr="00690EC1">
        <w:t>retraumatisation</w:t>
      </w:r>
      <w:proofErr w:type="spellEnd"/>
      <w:r w:rsidRPr="00690EC1">
        <w:t>.</w:t>
      </w:r>
    </w:p>
    <w:p w14:paraId="03CDCEA5" w14:textId="77777777" w:rsidR="00690EC1" w:rsidRPr="00690EC1" w:rsidRDefault="00690EC1" w:rsidP="00690EC1">
      <w:pPr>
        <w:jc w:val="both"/>
        <w:rPr>
          <w:b/>
          <w:bCs/>
        </w:rPr>
      </w:pPr>
      <w:r w:rsidRPr="00690EC1">
        <w:rPr>
          <w:b/>
          <w:bCs/>
        </w:rPr>
        <w:t xml:space="preserve">14. Comment aborder la question du trauma en évitant la </w:t>
      </w:r>
      <w:proofErr w:type="spellStart"/>
      <w:r w:rsidRPr="00690EC1">
        <w:rPr>
          <w:b/>
          <w:bCs/>
        </w:rPr>
        <w:t>retraumatisation</w:t>
      </w:r>
      <w:proofErr w:type="spellEnd"/>
      <w:r w:rsidRPr="00690EC1">
        <w:rPr>
          <w:b/>
          <w:bCs/>
        </w:rPr>
        <w:t xml:space="preserve"> ?</w:t>
      </w:r>
    </w:p>
    <w:p w14:paraId="097D3B7A" w14:textId="77777777" w:rsidR="00690EC1" w:rsidRPr="00690EC1" w:rsidRDefault="00690EC1" w:rsidP="00690EC1">
      <w:pPr>
        <w:jc w:val="both"/>
      </w:pPr>
      <w:r w:rsidRPr="00690EC1">
        <w:t>L'approche du trauma doit suivre le principe de titration : exposition graduelle et contrôlée. D'abord, établir un cadre thérapeutique sécurisant avec des limites claires, prévisibilité des séances, et respect du rythme de la patiente. Le consentement éclairé est crucial : expliquer le processus thérapeutique, les étapes, et maintenir son agentivité.</w:t>
      </w:r>
    </w:p>
    <w:p w14:paraId="245F7F41" w14:textId="77777777" w:rsidR="00690EC1" w:rsidRPr="00690EC1" w:rsidRDefault="00690EC1" w:rsidP="00690EC1">
      <w:pPr>
        <w:jc w:val="both"/>
      </w:pPr>
      <w:r w:rsidRPr="00690EC1">
        <w:t>La fenêtre de tolérance émotionnelle doit être constamment évaluée. Commencer par renforcer les ressources (souvenirs positifs, personnes soutenantes, activités apaisantes) avant toute confrontation au matériel traumatique. Utiliser des techniques de double attention (un pied dans le passé, un pied dans le présent) pour éviter la submersion.</w:t>
      </w:r>
    </w:p>
    <w:p w14:paraId="7EA1A279" w14:textId="77777777" w:rsidR="00690EC1" w:rsidRPr="00690EC1" w:rsidRDefault="00690EC1" w:rsidP="00690EC1">
      <w:pPr>
        <w:jc w:val="both"/>
      </w:pPr>
      <w:r w:rsidRPr="00690EC1">
        <w:t>L'utilisation de techniques de distanciation (observer le souvenir sur un écran, métaphores) permet une exposition progressive. Toujours terminer les séances par une phase de stabilisation, ramenant la patiente dans le présent sécure. Éviter les questions intrusives sur les détails traumatiques non nécessaires au travail thérapeutique. Surveiller les signes de débordement (dissociation excessive, mutisme, agitation) et savoir interrompre si nécessaire.</w:t>
      </w:r>
    </w:p>
    <w:p w14:paraId="19E2EF33" w14:textId="77777777" w:rsidR="00690EC1" w:rsidRPr="00690EC1" w:rsidRDefault="00690EC1" w:rsidP="00690EC1">
      <w:pPr>
        <w:jc w:val="both"/>
        <w:rPr>
          <w:b/>
          <w:bCs/>
        </w:rPr>
      </w:pPr>
      <w:r w:rsidRPr="00690EC1">
        <w:rPr>
          <w:b/>
          <w:bCs/>
        </w:rPr>
        <w:t>15. Quels sont les enjeux spécifiques du travail thérapeutique avec cette patiente ?</w:t>
      </w:r>
    </w:p>
    <w:p w14:paraId="31FF3917" w14:textId="77777777" w:rsidR="00690EC1" w:rsidRPr="00690EC1" w:rsidRDefault="00690EC1" w:rsidP="00690EC1">
      <w:pPr>
        <w:jc w:val="both"/>
      </w:pPr>
      <w:r w:rsidRPr="00690EC1">
        <w:t xml:space="preserve">Le travail thérapeutique présente plusieurs enjeux complexes interconnectés. La gestion du transfert sera cruciale : la relation thérapeutique réactivera probablement des enjeux de confiance/méfiance, proximité/distance, contrôle/abandon. Le thérapeute devra </w:t>
      </w:r>
      <w:r w:rsidRPr="00690EC1">
        <w:lastRenderedPageBreak/>
        <w:t>naviguer entre une distance professionnelle sécurisante et une chaleur humaine nécessaire à la réparation.</w:t>
      </w:r>
    </w:p>
    <w:p w14:paraId="273DFEB9" w14:textId="77777777" w:rsidR="00690EC1" w:rsidRPr="00690EC1" w:rsidRDefault="00690EC1" w:rsidP="00690EC1">
      <w:pPr>
        <w:jc w:val="both"/>
      </w:pPr>
      <w:r w:rsidRPr="00690EC1">
        <w:t>La question du genre du thérapeute peut être significative, nécessitant une exploration ouverte des préférences et résistances. L'articulation entre les différents symptômes (TSPT, TCA, troubles sexuels) nécessite une vision intégrative évitant le morcellement des prises en charge.</w:t>
      </w:r>
    </w:p>
    <w:p w14:paraId="1061D11B" w14:textId="77777777" w:rsidR="00690EC1" w:rsidRPr="00690EC1" w:rsidRDefault="00690EC1" w:rsidP="00690EC1">
      <w:pPr>
        <w:jc w:val="both"/>
      </w:pPr>
      <w:r w:rsidRPr="00690EC1">
        <w:t>Le travail avec l'entourage (famille évitante, partenaire) sera important pour créer un environnement soutenant la guérison. La temporalité longue du processus doit être anticipée et discutée pour éviter le découragement. Le risque de rechute lors des étapes de progrès (levée des défenses) nécessite une vigilance particulière. Enfin, l'objectif n'est pas seulement la réduction des symptômes mais la construction d'une vie qui vaut la peine d'être vécue, incluant plaisir, intimité et réalisation personnelle.</w:t>
      </w:r>
    </w:p>
    <w:p w14:paraId="074D133D" w14:textId="77777777" w:rsidR="00690EC1" w:rsidRDefault="00690EC1" w:rsidP="00690EC1">
      <w:pPr>
        <w:jc w:val="both"/>
      </w:pPr>
    </w:p>
    <w:sectPr w:rsidR="00690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05BA"/>
    <w:multiLevelType w:val="multilevel"/>
    <w:tmpl w:val="E2AA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70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C1"/>
    <w:rsid w:val="00690EC1"/>
    <w:rsid w:val="009E5E9A"/>
    <w:rsid w:val="00DE2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823"/>
  <w15:chartTrackingRefBased/>
  <w15:docId w15:val="{09106504-206D-7149-B8C4-257D65D4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0E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0E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0E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0E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0E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0E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0E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E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0E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0E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0E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0E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0E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0E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0E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0EC1"/>
    <w:rPr>
      <w:rFonts w:eastAsiaTheme="majorEastAsia" w:cstheme="majorBidi"/>
      <w:color w:val="272727" w:themeColor="text1" w:themeTint="D8"/>
    </w:rPr>
  </w:style>
  <w:style w:type="paragraph" w:styleId="Titre">
    <w:name w:val="Title"/>
    <w:basedOn w:val="Normal"/>
    <w:next w:val="Normal"/>
    <w:link w:val="TitreCar"/>
    <w:uiPriority w:val="10"/>
    <w:qFormat/>
    <w:rsid w:val="00690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0E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0E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0E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0EC1"/>
    <w:pPr>
      <w:spacing w:before="160"/>
      <w:jc w:val="center"/>
    </w:pPr>
    <w:rPr>
      <w:i/>
      <w:iCs/>
      <w:color w:val="404040" w:themeColor="text1" w:themeTint="BF"/>
    </w:rPr>
  </w:style>
  <w:style w:type="character" w:customStyle="1" w:styleId="CitationCar">
    <w:name w:val="Citation Car"/>
    <w:basedOn w:val="Policepardfaut"/>
    <w:link w:val="Citation"/>
    <w:uiPriority w:val="29"/>
    <w:rsid w:val="00690EC1"/>
    <w:rPr>
      <w:i/>
      <w:iCs/>
      <w:color w:val="404040" w:themeColor="text1" w:themeTint="BF"/>
    </w:rPr>
  </w:style>
  <w:style w:type="paragraph" w:styleId="Paragraphedeliste">
    <w:name w:val="List Paragraph"/>
    <w:basedOn w:val="Normal"/>
    <w:uiPriority w:val="34"/>
    <w:qFormat/>
    <w:rsid w:val="00690EC1"/>
    <w:pPr>
      <w:ind w:left="720"/>
      <w:contextualSpacing/>
    </w:pPr>
  </w:style>
  <w:style w:type="character" w:styleId="Accentuationintense">
    <w:name w:val="Intense Emphasis"/>
    <w:basedOn w:val="Policepardfaut"/>
    <w:uiPriority w:val="21"/>
    <w:qFormat/>
    <w:rsid w:val="00690EC1"/>
    <w:rPr>
      <w:i/>
      <w:iCs/>
      <w:color w:val="0F4761" w:themeColor="accent1" w:themeShade="BF"/>
    </w:rPr>
  </w:style>
  <w:style w:type="paragraph" w:styleId="Citationintense">
    <w:name w:val="Intense Quote"/>
    <w:basedOn w:val="Normal"/>
    <w:next w:val="Normal"/>
    <w:link w:val="CitationintenseCar"/>
    <w:uiPriority w:val="30"/>
    <w:qFormat/>
    <w:rsid w:val="0069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0EC1"/>
    <w:rPr>
      <w:i/>
      <w:iCs/>
      <w:color w:val="0F4761" w:themeColor="accent1" w:themeShade="BF"/>
    </w:rPr>
  </w:style>
  <w:style w:type="character" w:styleId="Rfrenceintense">
    <w:name w:val="Intense Reference"/>
    <w:basedOn w:val="Policepardfaut"/>
    <w:uiPriority w:val="32"/>
    <w:qFormat/>
    <w:rsid w:val="00690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3867</Words>
  <Characters>21273</Characters>
  <Application>Microsoft Office Word</Application>
  <DocSecurity>0</DocSecurity>
  <Lines>177</Lines>
  <Paragraphs>50</Paragraphs>
  <ScaleCrop>false</ScaleCrop>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1</cp:revision>
  <dcterms:created xsi:type="dcterms:W3CDTF">2025-08-20T07:45:00Z</dcterms:created>
  <dcterms:modified xsi:type="dcterms:W3CDTF">2025-08-20T07:46:00Z</dcterms:modified>
</cp:coreProperties>
</file>